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>Finance</w:t>
      </w: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Student’s name</w:t>
      </w: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Course department, institution</w:t>
      </w: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Course code, course name</w:t>
      </w: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Instructor’s name</w:t>
      </w: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Date</w:t>
      </w: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1A3" w:rsidRP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>Finance</w:t>
      </w:r>
    </w:p>
    <w:p w:rsidR="00BA21A3" w:rsidRPr="00BA21A3" w:rsidP="00BA21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>Why the growth rate of cash flow should be less than the discount rate economically</w:t>
      </w:r>
      <w:r w:rsidRPr="00BA2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CF8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 xml:space="preserve">The discount rate is higher than cash flow to avoid having a negative terminal value. The </w:t>
      </w:r>
      <w:r w:rsidRPr="00BA21A3" w:rsidR="00D25337">
        <w:rPr>
          <w:rFonts w:ascii="Times New Roman" w:hAnsi="Times New Roman" w:cs="Times New Roman"/>
          <w:sz w:val="24"/>
          <w:szCs w:val="24"/>
        </w:rPr>
        <w:t>increase</w:t>
      </w:r>
      <w:r w:rsidRPr="00BA21A3">
        <w:rPr>
          <w:rFonts w:ascii="Times New Roman" w:hAnsi="Times New Roman" w:cs="Times New Roman"/>
          <w:sz w:val="24"/>
          <w:szCs w:val="24"/>
        </w:rPr>
        <w:t xml:space="preserve"> in growth rate cannot </w:t>
      </w:r>
      <w:r w:rsidRPr="00BA21A3" w:rsidR="00D25337">
        <w:rPr>
          <w:rFonts w:ascii="Times New Roman" w:hAnsi="Times New Roman" w:cs="Times New Roman"/>
          <w:sz w:val="24"/>
          <w:szCs w:val="24"/>
        </w:rPr>
        <w:t>supersede</w:t>
      </w:r>
      <w:r w:rsidRPr="00BA21A3">
        <w:rPr>
          <w:rFonts w:ascii="Times New Roman" w:hAnsi="Times New Roman" w:cs="Times New Roman"/>
          <w:sz w:val="24"/>
          <w:szCs w:val="24"/>
        </w:rPr>
        <w:t xml:space="preserve"> the economy's overall </w:t>
      </w:r>
      <w:r w:rsidRPr="00BA21A3" w:rsidR="00D25337">
        <w:rPr>
          <w:rFonts w:ascii="Times New Roman" w:hAnsi="Times New Roman" w:cs="Times New Roman"/>
          <w:sz w:val="24"/>
          <w:szCs w:val="24"/>
        </w:rPr>
        <w:t>growth</w:t>
      </w:r>
      <w:r w:rsidRPr="00BA21A3">
        <w:rPr>
          <w:rFonts w:ascii="Times New Roman" w:hAnsi="Times New Roman" w:cs="Times New Roman"/>
          <w:sz w:val="24"/>
          <w:szCs w:val="24"/>
        </w:rPr>
        <w:t xml:space="preserve"> </w:t>
      </w:r>
      <w:r w:rsidRPr="00BA21A3" w:rsidR="00D25337">
        <w:rPr>
          <w:rFonts w:ascii="Times New Roman" w:hAnsi="Times New Roman" w:cs="Times New Roman"/>
          <w:sz w:val="24"/>
          <w:szCs w:val="24"/>
        </w:rPr>
        <w:t>as the fluctuations in growth</w:t>
      </w:r>
      <w:r w:rsidRPr="00BA21A3">
        <w:rPr>
          <w:rFonts w:ascii="Times New Roman" w:hAnsi="Times New Roman" w:cs="Times New Roman"/>
          <w:sz w:val="24"/>
          <w:szCs w:val="24"/>
        </w:rPr>
        <w:t xml:space="preserve"> rates lead to terminal value; hence, the effect will be greater as the rate of </w:t>
      </w:r>
      <w:r w:rsidRPr="00BA21A3" w:rsidR="00D25337">
        <w:rPr>
          <w:rFonts w:ascii="Times New Roman" w:hAnsi="Times New Roman" w:cs="Times New Roman"/>
          <w:sz w:val="24"/>
          <w:szCs w:val="24"/>
        </w:rPr>
        <w:t>growth</w:t>
      </w:r>
      <w:r w:rsidRPr="00BA21A3">
        <w:rPr>
          <w:rFonts w:ascii="Times New Roman" w:hAnsi="Times New Roman" w:cs="Times New Roman"/>
          <w:sz w:val="24"/>
          <w:szCs w:val="24"/>
        </w:rPr>
        <w:t xml:space="preserve"> </w:t>
      </w:r>
      <w:r w:rsidRPr="00BA21A3" w:rsidR="00D25337">
        <w:rPr>
          <w:rFonts w:ascii="Times New Roman" w:hAnsi="Times New Roman" w:cs="Times New Roman"/>
          <w:sz w:val="24"/>
          <w:szCs w:val="24"/>
        </w:rPr>
        <w:t>approaches</w:t>
      </w:r>
      <w:r w:rsidRPr="00BA21A3">
        <w:rPr>
          <w:rFonts w:ascii="Times New Roman" w:hAnsi="Times New Roman" w:cs="Times New Roman"/>
          <w:sz w:val="24"/>
          <w:szCs w:val="24"/>
        </w:rPr>
        <w:t xml:space="preserve"> the discount rate applied in foreshadowing</w:t>
      </w:r>
      <w:r w:rsidRPr="00BA21A3" w:rsidR="00780B34">
        <w:rPr>
          <w:rFonts w:ascii="Times New Roman" w:hAnsi="Times New Roman" w:cs="Times New Roman"/>
          <w:sz w:val="24"/>
          <w:szCs w:val="24"/>
        </w:rPr>
        <w:t xml:space="preserve"> (</w:t>
      </w:r>
      <w:r w:rsidRPr="00BA21A3" w:rsidR="00780B34">
        <w:rPr>
          <w:rFonts w:ascii="Times New Roman" w:hAnsi="Times New Roman" w:cs="Times New Roman"/>
          <w:sz w:val="24"/>
          <w:szCs w:val="24"/>
          <w:shd w:val="clear" w:color="auto" w:fill="FFFFFF"/>
        </w:rPr>
        <w:t>Attema</w:t>
      </w:r>
      <w:r w:rsidRPr="00BA21A3" w:rsidR="00780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A21A3" w:rsidR="00780B34">
        <w:rPr>
          <w:rFonts w:ascii="Times New Roman" w:hAnsi="Times New Roman" w:cs="Times New Roman"/>
          <w:sz w:val="24"/>
          <w:szCs w:val="24"/>
          <w:shd w:val="clear" w:color="auto" w:fill="FFFFFF"/>
        </w:rPr>
        <w:t>Brouwer</w:t>
      </w:r>
      <w:r w:rsidRPr="00BA21A3" w:rsidR="00780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 Claxton, </w:t>
      </w:r>
      <w:r w:rsidRPr="00BA21A3" w:rsidR="00780B34">
        <w:rPr>
          <w:rFonts w:ascii="Times New Roman" w:hAnsi="Times New Roman" w:cs="Times New Roman"/>
          <w:sz w:val="24"/>
          <w:szCs w:val="24"/>
          <w:shd w:val="clear" w:color="auto" w:fill="FFFFFF"/>
        </w:rPr>
        <w:t>2018)</w:t>
      </w:r>
      <w:r w:rsidRPr="00BA21A3">
        <w:rPr>
          <w:rFonts w:ascii="Times New Roman" w:hAnsi="Times New Roman" w:cs="Times New Roman"/>
          <w:sz w:val="24"/>
          <w:szCs w:val="24"/>
        </w:rPr>
        <w:t xml:space="preserve">. </w:t>
      </w:r>
      <w:r w:rsidRPr="00BA21A3" w:rsidR="00BC4349">
        <w:rPr>
          <w:rFonts w:ascii="Times New Roman" w:hAnsi="Times New Roman" w:cs="Times New Roman"/>
          <w:sz w:val="24"/>
          <w:szCs w:val="24"/>
        </w:rPr>
        <w:t>Therefore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, the </w:t>
      </w:r>
      <w:r w:rsidRPr="00BA21A3" w:rsidR="00BC4349">
        <w:rPr>
          <w:rFonts w:ascii="Times New Roman" w:hAnsi="Times New Roman" w:cs="Times New Roman"/>
          <w:sz w:val="24"/>
          <w:szCs w:val="24"/>
        </w:rPr>
        <w:t>growth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rate is set to be </w:t>
      </w:r>
      <w:r w:rsidRPr="00BA21A3" w:rsidR="00BC4349">
        <w:rPr>
          <w:rFonts w:ascii="Times New Roman" w:hAnsi="Times New Roman" w:cs="Times New Roman"/>
          <w:sz w:val="24"/>
          <w:szCs w:val="24"/>
        </w:rPr>
        <w:t>equivalent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or less than </w:t>
      </w:r>
      <w:r w:rsidRPr="00BA21A3" w:rsidR="00BC4349">
        <w:rPr>
          <w:rFonts w:ascii="Times New Roman" w:hAnsi="Times New Roman" w:cs="Times New Roman"/>
          <w:sz w:val="24"/>
          <w:szCs w:val="24"/>
        </w:rPr>
        <w:t>economic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</w:t>
      </w:r>
      <w:r w:rsidRPr="00BA21A3" w:rsidR="00BC4349">
        <w:rPr>
          <w:rFonts w:ascii="Times New Roman" w:hAnsi="Times New Roman" w:cs="Times New Roman"/>
          <w:sz w:val="24"/>
          <w:szCs w:val="24"/>
        </w:rPr>
        <w:t>growth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to </w:t>
      </w:r>
      <w:r w:rsidRPr="00BA21A3" w:rsidR="00BC4349">
        <w:rPr>
          <w:rFonts w:ascii="Times New Roman" w:hAnsi="Times New Roman" w:cs="Times New Roman"/>
          <w:sz w:val="24"/>
          <w:szCs w:val="24"/>
        </w:rPr>
        <w:t>reduce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the </w:t>
      </w:r>
      <w:r w:rsidRPr="00BA21A3" w:rsidR="00BC4349">
        <w:rPr>
          <w:rFonts w:ascii="Times New Roman" w:hAnsi="Times New Roman" w:cs="Times New Roman"/>
          <w:sz w:val="24"/>
          <w:szCs w:val="24"/>
        </w:rPr>
        <w:t>discount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</w:t>
      </w:r>
      <w:r w:rsidRPr="00BA21A3" w:rsidR="00BC4349">
        <w:rPr>
          <w:rFonts w:ascii="Times New Roman" w:hAnsi="Times New Roman" w:cs="Times New Roman"/>
          <w:sz w:val="24"/>
          <w:szCs w:val="24"/>
        </w:rPr>
        <w:t>rate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, the cost of </w:t>
      </w:r>
      <w:r w:rsidRPr="00BA21A3" w:rsidR="00BC4349">
        <w:rPr>
          <w:rFonts w:ascii="Times New Roman" w:hAnsi="Times New Roman" w:cs="Times New Roman"/>
          <w:sz w:val="24"/>
          <w:szCs w:val="24"/>
        </w:rPr>
        <w:t>capital</w:t>
      </w:r>
      <w:r w:rsidRPr="00BA21A3" w:rsidR="003E52E2">
        <w:rPr>
          <w:rFonts w:ascii="Times New Roman" w:hAnsi="Times New Roman" w:cs="Times New Roman"/>
          <w:sz w:val="24"/>
          <w:szCs w:val="24"/>
        </w:rPr>
        <w:t xml:space="preserve"> for the flow of cash to the organization. </w:t>
      </w:r>
    </w:p>
    <w:p w:rsidR="00BA21A3" w:rsidRPr="00BA21A3" w:rsidP="00BA21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 xml:space="preserve">Prevailing interest on perpetual bond </w:t>
      </w:r>
    </w:p>
    <w:p w:rsidR="00D936C7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Prevailing interest= (cash flow) ÷ (initial cost) x 100</w:t>
      </w:r>
    </w:p>
    <w:p w:rsidR="00D936C7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 xml:space="preserve">                                 = (10 000) ÷ (100 000) x 100</w:t>
      </w:r>
    </w:p>
    <w:p w:rsidR="00D936C7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 xml:space="preserve">                                = 10%</w:t>
      </w:r>
    </w:p>
    <w:p w:rsidR="00BA21A3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 xml:space="preserve">The prevailing </w:t>
      </w:r>
      <w:r w:rsidRPr="00BA21A3" w:rsidR="002C33ED">
        <w:rPr>
          <w:rFonts w:ascii="Times New Roman" w:hAnsi="Times New Roman" w:cs="Times New Roman"/>
          <w:sz w:val="24"/>
          <w:szCs w:val="24"/>
        </w:rPr>
        <w:t>interest</w:t>
      </w:r>
      <w:r w:rsidRPr="00BA21A3">
        <w:rPr>
          <w:rFonts w:ascii="Times New Roman" w:hAnsi="Times New Roman" w:cs="Times New Roman"/>
          <w:sz w:val="24"/>
          <w:szCs w:val="24"/>
        </w:rPr>
        <w:t xml:space="preserve"> </w:t>
      </w:r>
      <w:r w:rsidRPr="00BA21A3" w:rsidR="005B5A94">
        <w:rPr>
          <w:rFonts w:ascii="Times New Roman" w:hAnsi="Times New Roman" w:cs="Times New Roman"/>
          <w:sz w:val="24"/>
          <w:szCs w:val="24"/>
        </w:rPr>
        <w:t xml:space="preserve">is the current market rate where </w:t>
      </w:r>
      <w:r w:rsidRPr="00BA21A3" w:rsidR="002C33ED">
        <w:rPr>
          <w:rFonts w:ascii="Times New Roman" w:hAnsi="Times New Roman" w:cs="Times New Roman"/>
          <w:sz w:val="24"/>
          <w:szCs w:val="24"/>
        </w:rPr>
        <w:t>perpetual</w:t>
      </w:r>
      <w:r w:rsidRPr="00BA21A3" w:rsidR="005B5A94">
        <w:rPr>
          <w:rFonts w:ascii="Times New Roman" w:hAnsi="Times New Roman" w:cs="Times New Roman"/>
          <w:sz w:val="24"/>
          <w:szCs w:val="24"/>
        </w:rPr>
        <w:t xml:space="preserve"> bond has no specific </w:t>
      </w:r>
      <w:r w:rsidRPr="00BA21A3" w:rsidR="005B5A94">
        <w:rPr>
          <w:rFonts w:ascii="Times New Roman" w:hAnsi="Times New Roman" w:cs="Times New Roman"/>
          <w:sz w:val="24"/>
          <w:szCs w:val="24"/>
        </w:rPr>
        <w:t xml:space="preserve">maturation dates, thus </w:t>
      </w:r>
      <w:r w:rsidRPr="00BA21A3" w:rsidR="002C33ED">
        <w:rPr>
          <w:rFonts w:ascii="Times New Roman" w:hAnsi="Times New Roman" w:cs="Times New Roman"/>
          <w:sz w:val="24"/>
          <w:szCs w:val="24"/>
        </w:rPr>
        <w:t>paying</w:t>
      </w:r>
      <w:r w:rsidRPr="00BA21A3" w:rsidR="005B5A94">
        <w:rPr>
          <w:rFonts w:ascii="Times New Roman" w:hAnsi="Times New Roman" w:cs="Times New Roman"/>
          <w:sz w:val="24"/>
          <w:szCs w:val="24"/>
        </w:rPr>
        <w:t xml:space="preserve"> steady interest. </w:t>
      </w:r>
      <w:r w:rsidRPr="00BA21A3" w:rsidR="002C33ED">
        <w:rPr>
          <w:rFonts w:ascii="Times New Roman" w:hAnsi="Times New Roman" w:cs="Times New Roman"/>
          <w:sz w:val="24"/>
          <w:szCs w:val="24"/>
        </w:rPr>
        <w:t xml:space="preserve">Thus, in the question, the perpetual bond is offering a percentage intestate of 10. </w:t>
      </w:r>
    </w:p>
    <w:p w:rsidR="00BA21A3" w:rsidRPr="00BA21A3" w:rsidP="00BA21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>Differences between yield maturity and yield to call</w:t>
      </w:r>
    </w:p>
    <w:p w:rsidR="007D5274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</w:rPr>
        <w:t>Yield maturity is the sum of return paid on the maturity bond. It is also the return realized from investing in the bond, which is considered the redemption yield</w:t>
      </w:r>
      <w:r w:rsidRPr="00BA21A3" w:rsidR="00841BB9">
        <w:rPr>
          <w:rFonts w:ascii="Times New Roman" w:hAnsi="Times New Roman" w:cs="Times New Roman"/>
          <w:sz w:val="24"/>
          <w:szCs w:val="24"/>
        </w:rPr>
        <w:t xml:space="preserve"> (</w:t>
      </w:r>
      <w:r w:rsidRPr="00BA21A3" w:rsidR="00841BB9">
        <w:rPr>
          <w:rFonts w:ascii="Times New Roman" w:hAnsi="Times New Roman" w:cs="Times New Roman"/>
          <w:sz w:val="24"/>
          <w:szCs w:val="24"/>
          <w:shd w:val="clear" w:color="auto" w:fill="FFFFFF"/>
        </w:rPr>
        <w:t>Gelfand</w:t>
      </w:r>
      <w:r w:rsidRPr="00BA21A3" w:rsidR="00841BB9">
        <w:rPr>
          <w:rFonts w:ascii="Times New Roman" w:hAnsi="Times New Roman" w:cs="Times New Roman"/>
          <w:sz w:val="24"/>
          <w:szCs w:val="24"/>
          <w:shd w:val="clear" w:color="auto" w:fill="FFFFFF"/>
        </w:rPr>
        <w:t>, 2020)</w:t>
      </w:r>
      <w:r w:rsidRPr="00BA21A3">
        <w:rPr>
          <w:rFonts w:ascii="Times New Roman" w:hAnsi="Times New Roman" w:cs="Times New Roman"/>
          <w:sz w:val="24"/>
          <w:szCs w:val="24"/>
        </w:rPr>
        <w:t xml:space="preserve">. Yield to call is the amount paid to an individual issuing a callable bond. </w:t>
      </w:r>
    </w:p>
    <w:p w:rsid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274" w:rsidRPr="00BA21A3" w:rsidP="00BA21A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1A3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2504F" w:rsidRPr="00BA21A3" w:rsidP="00BA21A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Attema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A. E., 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Brouwer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W. B., &amp; Claxton, K. (2018). 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Discounting in economic evaluations.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A21A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Pharmacoeconomics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BA21A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36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(7), 745-758.</w:t>
      </w:r>
    </w:p>
    <w:p w:rsidR="00841BB9" w:rsidRPr="00BA21A3" w:rsidP="00BA21A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Gelfand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 D. (2020). 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Consols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Forever: US Treasury Obligations of Perpetual Maturity. </w:t>
      </w:r>
      <w:r w:rsidRPr="00BA21A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Taxation of Investments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BA21A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37</w:t>
      </w:r>
      <w:r w:rsidRPr="00BA21A3">
        <w:rPr>
          <w:rFonts w:ascii="Times New Roman" w:hAnsi="Times New Roman" w:cs="Times New Roman"/>
          <w:sz w:val="24"/>
          <w:szCs w:val="24"/>
          <w:shd w:val="clear" w:color="auto" w:fill="FFFFFF"/>
        </w:rPr>
        <w:t>(3).</w:t>
      </w:r>
    </w:p>
    <w:p w:rsidR="007D5274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7389" w:rsidRPr="00BA21A3" w:rsidP="00BA21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918280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A21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2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330319"/>
    <w:multiLevelType w:val="hybridMultilevel"/>
    <w:tmpl w:val="08B0B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4"/>
    <w:rsid w:val="002C33ED"/>
    <w:rsid w:val="003E52E2"/>
    <w:rsid w:val="003E7389"/>
    <w:rsid w:val="005B5A94"/>
    <w:rsid w:val="00780B34"/>
    <w:rsid w:val="007D5274"/>
    <w:rsid w:val="00841BB9"/>
    <w:rsid w:val="008E3A24"/>
    <w:rsid w:val="009E3A24"/>
    <w:rsid w:val="00B2504F"/>
    <w:rsid w:val="00BA21A3"/>
    <w:rsid w:val="00BC4349"/>
    <w:rsid w:val="00D25337"/>
    <w:rsid w:val="00D936C7"/>
    <w:rsid w:val="00EB4CF8"/>
    <w:rsid w:val="00FB21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1A3"/>
  </w:style>
  <w:style w:type="paragraph" w:styleId="Footer">
    <w:name w:val="footer"/>
    <w:basedOn w:val="Normal"/>
    <w:link w:val="FooterChar"/>
    <w:uiPriority w:val="99"/>
    <w:unhideWhenUsed/>
    <w:rsid w:val="00BA2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1A3"/>
  </w:style>
  <w:style w:type="paragraph" w:styleId="ListParagraph">
    <w:name w:val="List Paragraph"/>
    <w:basedOn w:val="Normal"/>
    <w:uiPriority w:val="34"/>
    <w:qFormat/>
    <w:rsid w:val="00BA2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95918D6-BBE6-4C1C-9569-90065B24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12</cp:revision>
  <dcterms:created xsi:type="dcterms:W3CDTF">2021-09-11T23:47:00Z</dcterms:created>
  <dcterms:modified xsi:type="dcterms:W3CDTF">2021-09-12T00:15:00Z</dcterms:modified>
</cp:coreProperties>
</file>